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CA769" w14:textId="0233AC83" w:rsidR="00286CF9" w:rsidRDefault="00316DBF" w:rsidP="00316DBF">
      <w:pPr>
        <w:jc w:val="center"/>
        <w:rPr>
          <w:b/>
          <w:sz w:val="28"/>
          <w:szCs w:val="28"/>
        </w:rPr>
      </w:pPr>
      <w:r>
        <w:rPr>
          <w:b/>
          <w:sz w:val="28"/>
          <w:szCs w:val="28"/>
        </w:rPr>
        <w:t>Relazione e s</w:t>
      </w:r>
      <w:r w:rsidRPr="00D7283C">
        <w:rPr>
          <w:b/>
          <w:sz w:val="28"/>
          <w:szCs w:val="28"/>
        </w:rPr>
        <w:t>cheda monitoraggio finale</w:t>
      </w:r>
    </w:p>
    <w:p w14:paraId="136DC348" w14:textId="24A1C417" w:rsidR="00316DBF" w:rsidRDefault="00316DBF" w:rsidP="00316DBF">
      <w:pPr>
        <w:jc w:val="center"/>
        <w:rPr>
          <w:b/>
          <w:sz w:val="28"/>
          <w:szCs w:val="28"/>
        </w:rPr>
      </w:pPr>
      <w:proofErr w:type="spellStart"/>
      <w:r>
        <w:rPr>
          <w:b/>
          <w:sz w:val="28"/>
          <w:szCs w:val="28"/>
        </w:rPr>
        <w:t>a.s.</w:t>
      </w:r>
      <w:proofErr w:type="spellEnd"/>
      <w:r>
        <w:rPr>
          <w:b/>
          <w:sz w:val="28"/>
          <w:szCs w:val="28"/>
        </w:rPr>
        <w:t xml:space="preserve"> 2020/2021</w:t>
      </w:r>
    </w:p>
    <w:p w14:paraId="6CEC7BEC" w14:textId="1C9E3DEC" w:rsidR="00316DBF" w:rsidRDefault="00AC0291" w:rsidP="00316DBF">
      <w:pPr>
        <w:jc w:val="center"/>
        <w:rPr>
          <w:b/>
          <w:sz w:val="28"/>
          <w:szCs w:val="28"/>
        </w:rPr>
      </w:pPr>
      <w:r>
        <w:rPr>
          <w:b/>
          <w:sz w:val="28"/>
          <w:szCs w:val="28"/>
        </w:rPr>
        <w:t>Commissione Invalsi</w:t>
      </w:r>
    </w:p>
    <w:p w14:paraId="0983C6A1" w14:textId="77777777" w:rsidR="00316DBF" w:rsidRDefault="00316DBF" w:rsidP="00316DBF">
      <w:pPr>
        <w:jc w:val="center"/>
        <w:rPr>
          <w:b/>
          <w:sz w:val="28"/>
          <w:szCs w:val="28"/>
        </w:rPr>
      </w:pPr>
    </w:p>
    <w:p w14:paraId="3B749756" w14:textId="02DE8821" w:rsidR="00316DBF" w:rsidRDefault="00316DBF" w:rsidP="00316DBF">
      <w:pPr>
        <w:jc w:val="both"/>
        <w:rPr>
          <w:b/>
          <w:sz w:val="28"/>
          <w:szCs w:val="28"/>
        </w:rPr>
      </w:pPr>
    </w:p>
    <w:p w14:paraId="1068D3F4" w14:textId="04E256C9" w:rsidR="00316DBF" w:rsidRPr="00981A50" w:rsidRDefault="00316DBF" w:rsidP="00981A50">
      <w:pPr>
        <w:pStyle w:val="Paragrafoelenco"/>
        <w:numPr>
          <w:ilvl w:val="0"/>
          <w:numId w:val="2"/>
        </w:numPr>
        <w:rPr>
          <w:b/>
          <w:sz w:val="24"/>
          <w:szCs w:val="24"/>
        </w:rPr>
      </w:pPr>
      <w:r w:rsidRPr="00981A50">
        <w:rPr>
          <w:b/>
          <w:sz w:val="24"/>
          <w:szCs w:val="24"/>
        </w:rPr>
        <w:t>Dati generali della Commissione:</w:t>
      </w:r>
    </w:p>
    <w:p w14:paraId="744A29F4" w14:textId="77777777" w:rsidR="00316DBF" w:rsidRPr="00316DBF" w:rsidRDefault="00316DBF" w:rsidP="00316DBF">
      <w:pPr>
        <w:pStyle w:val="Paragrafoelenco"/>
        <w:rPr>
          <w:b/>
          <w:sz w:val="24"/>
          <w:szCs w:val="24"/>
        </w:rPr>
      </w:pPr>
    </w:p>
    <w:tbl>
      <w:tblPr>
        <w:tblStyle w:val="Grigliatabella"/>
        <w:tblW w:w="0" w:type="auto"/>
        <w:tblLook w:val="04A0" w:firstRow="1" w:lastRow="0" w:firstColumn="1" w:lastColumn="0" w:noHBand="0" w:noVBand="1"/>
      </w:tblPr>
      <w:tblGrid>
        <w:gridCol w:w="4824"/>
        <w:gridCol w:w="4798"/>
      </w:tblGrid>
      <w:tr w:rsidR="00316DBF" w14:paraId="7E24BEE7" w14:textId="77777777" w:rsidTr="00031E8C">
        <w:tc>
          <w:tcPr>
            <w:tcW w:w="4886" w:type="dxa"/>
          </w:tcPr>
          <w:p w14:paraId="0D6AF7AC" w14:textId="77777777" w:rsidR="00316DBF" w:rsidRPr="00DB2A76" w:rsidRDefault="00316DBF" w:rsidP="00031E8C">
            <w:pPr>
              <w:rPr>
                <w:sz w:val="22"/>
                <w:szCs w:val="22"/>
              </w:rPr>
            </w:pPr>
            <w:r w:rsidRPr="00DB2A76">
              <w:rPr>
                <w:sz w:val="22"/>
                <w:szCs w:val="22"/>
              </w:rPr>
              <w:t xml:space="preserve">Referente della Commissione </w:t>
            </w:r>
          </w:p>
          <w:p w14:paraId="5BAC26A6" w14:textId="19C37E89" w:rsidR="00316DBF" w:rsidRPr="00DB2A76" w:rsidRDefault="00316DBF" w:rsidP="00031E8C">
            <w:pPr>
              <w:rPr>
                <w:sz w:val="22"/>
                <w:szCs w:val="22"/>
              </w:rPr>
            </w:pPr>
            <w:r w:rsidRPr="00DB2A76">
              <w:rPr>
                <w:sz w:val="22"/>
                <w:szCs w:val="22"/>
              </w:rPr>
              <w:t>(eventualmente la funzione strumentale relativa</w:t>
            </w:r>
            <w:r w:rsidR="00981A50">
              <w:rPr>
                <w:sz w:val="22"/>
                <w:szCs w:val="22"/>
              </w:rPr>
              <w:t xml:space="preserve"> oppure nessuno</w:t>
            </w:r>
            <w:r w:rsidRPr="00DB2A76">
              <w:rPr>
                <w:sz w:val="22"/>
                <w:szCs w:val="22"/>
              </w:rPr>
              <w:t>)</w:t>
            </w:r>
          </w:p>
        </w:tc>
        <w:tc>
          <w:tcPr>
            <w:tcW w:w="4886" w:type="dxa"/>
          </w:tcPr>
          <w:p w14:paraId="76538BBD" w14:textId="77777777" w:rsidR="00316DBF" w:rsidRDefault="00316DBF" w:rsidP="00031E8C"/>
        </w:tc>
      </w:tr>
      <w:tr w:rsidR="00316DBF" w14:paraId="00256D46" w14:textId="77777777" w:rsidTr="00031E8C">
        <w:tc>
          <w:tcPr>
            <w:tcW w:w="4886" w:type="dxa"/>
          </w:tcPr>
          <w:p w14:paraId="62BC9DD3" w14:textId="77777777" w:rsidR="00316DBF" w:rsidRPr="00DB2A76" w:rsidRDefault="00316DBF" w:rsidP="00031E8C">
            <w:pPr>
              <w:rPr>
                <w:sz w:val="22"/>
                <w:szCs w:val="22"/>
              </w:rPr>
            </w:pPr>
            <w:r w:rsidRPr="00DB2A76">
              <w:rPr>
                <w:sz w:val="22"/>
                <w:szCs w:val="22"/>
              </w:rPr>
              <w:t>No</w:t>
            </w:r>
            <w:r>
              <w:rPr>
                <w:sz w:val="22"/>
                <w:szCs w:val="22"/>
              </w:rPr>
              <w:t>mi dei docenti coinvolti nella C</w:t>
            </w:r>
            <w:r w:rsidRPr="00DB2A76">
              <w:rPr>
                <w:sz w:val="22"/>
                <w:szCs w:val="22"/>
              </w:rPr>
              <w:t>ommissione e ordine di scuola a cui appartengono</w:t>
            </w:r>
          </w:p>
        </w:tc>
        <w:tc>
          <w:tcPr>
            <w:tcW w:w="4886" w:type="dxa"/>
          </w:tcPr>
          <w:p w14:paraId="78FF95DE" w14:textId="77777777" w:rsidR="00316DBF" w:rsidRDefault="00316DBF" w:rsidP="00031E8C"/>
        </w:tc>
      </w:tr>
    </w:tbl>
    <w:p w14:paraId="2E1901DA" w14:textId="6429D205" w:rsidR="00316DBF" w:rsidRDefault="00316DBF" w:rsidP="00316DBF">
      <w:pPr>
        <w:jc w:val="both"/>
        <w:rPr>
          <w:b/>
          <w:sz w:val="28"/>
          <w:szCs w:val="28"/>
        </w:rPr>
      </w:pPr>
    </w:p>
    <w:p w14:paraId="143C773F" w14:textId="3840E0C4" w:rsidR="00316DBF" w:rsidRPr="00981A50" w:rsidRDefault="00316DBF" w:rsidP="00981A50">
      <w:pPr>
        <w:pStyle w:val="Paragrafoelenco"/>
        <w:numPr>
          <w:ilvl w:val="0"/>
          <w:numId w:val="2"/>
        </w:numPr>
        <w:jc w:val="both"/>
        <w:rPr>
          <w:b/>
          <w:sz w:val="24"/>
          <w:szCs w:val="24"/>
        </w:rPr>
      </w:pPr>
      <w:r w:rsidRPr="00981A50">
        <w:rPr>
          <w:b/>
          <w:sz w:val="24"/>
          <w:szCs w:val="24"/>
        </w:rPr>
        <w:t xml:space="preserve">Attività svolte nel corso dell’anno scolastico 2020/2021 in base al “mansionario della commissione </w:t>
      </w:r>
      <w:r w:rsidR="00AC0291">
        <w:rPr>
          <w:b/>
          <w:sz w:val="24"/>
          <w:szCs w:val="24"/>
        </w:rPr>
        <w:t xml:space="preserve">Invalsi” </w:t>
      </w:r>
      <w:r w:rsidRPr="00981A50">
        <w:rPr>
          <w:b/>
          <w:sz w:val="24"/>
          <w:szCs w:val="24"/>
        </w:rPr>
        <w:t>presente nel PTOF di Istituto (barrare con una X le attività svolte).</w:t>
      </w:r>
    </w:p>
    <w:p w14:paraId="22DCC438" w14:textId="77777777" w:rsidR="00AC0291" w:rsidRPr="002848E6" w:rsidRDefault="00AC0291" w:rsidP="00AC0291">
      <w:pPr>
        <w:jc w:val="both"/>
        <w:rPr>
          <w:b/>
          <w:sz w:val="24"/>
          <w:szCs w:val="24"/>
        </w:rPr>
      </w:pPr>
    </w:p>
    <w:tbl>
      <w:tblPr>
        <w:tblStyle w:val="Grigliatabella"/>
        <w:tblW w:w="9677" w:type="dxa"/>
        <w:tblLook w:val="04A0" w:firstRow="1" w:lastRow="0" w:firstColumn="1" w:lastColumn="0" w:noHBand="0" w:noVBand="1"/>
      </w:tblPr>
      <w:tblGrid>
        <w:gridCol w:w="8299"/>
        <w:gridCol w:w="1378"/>
      </w:tblGrid>
      <w:tr w:rsidR="00AC0291" w:rsidRPr="00B44A58" w14:paraId="7200A5B3" w14:textId="77777777" w:rsidTr="00031E8C">
        <w:tc>
          <w:tcPr>
            <w:tcW w:w="8299" w:type="dxa"/>
          </w:tcPr>
          <w:p w14:paraId="0A605783" w14:textId="77777777" w:rsidR="00AC0291" w:rsidRPr="00B44A58" w:rsidRDefault="00AC0291" w:rsidP="00031E8C">
            <w:pPr>
              <w:rPr>
                <w:b/>
                <w:sz w:val="22"/>
                <w:szCs w:val="22"/>
              </w:rPr>
            </w:pPr>
            <w:r w:rsidRPr="00B44A58">
              <w:rPr>
                <w:b/>
                <w:sz w:val="22"/>
                <w:szCs w:val="22"/>
              </w:rPr>
              <w:t>Attività indicate nel mansionario</w:t>
            </w:r>
          </w:p>
        </w:tc>
        <w:tc>
          <w:tcPr>
            <w:tcW w:w="1378" w:type="dxa"/>
          </w:tcPr>
          <w:p w14:paraId="2D09F4CA" w14:textId="77777777" w:rsidR="00AC0291" w:rsidRPr="00B44A58" w:rsidRDefault="00AC0291" w:rsidP="00031E8C">
            <w:pPr>
              <w:rPr>
                <w:b/>
                <w:sz w:val="22"/>
                <w:szCs w:val="22"/>
              </w:rPr>
            </w:pPr>
            <w:r>
              <w:rPr>
                <w:b/>
                <w:sz w:val="22"/>
                <w:szCs w:val="22"/>
              </w:rPr>
              <w:t>S</w:t>
            </w:r>
            <w:r w:rsidRPr="00B44A58">
              <w:rPr>
                <w:b/>
                <w:sz w:val="22"/>
                <w:szCs w:val="22"/>
              </w:rPr>
              <w:t>volgimento</w:t>
            </w:r>
          </w:p>
        </w:tc>
      </w:tr>
      <w:tr w:rsidR="00AC0291" w14:paraId="293D23D3" w14:textId="77777777" w:rsidTr="00031E8C">
        <w:tc>
          <w:tcPr>
            <w:tcW w:w="8299" w:type="dxa"/>
          </w:tcPr>
          <w:p w14:paraId="1DE1A656" w14:textId="77777777" w:rsidR="00AC0291" w:rsidRPr="00115F49" w:rsidRDefault="00AC0291" w:rsidP="00AC0291">
            <w:pPr>
              <w:widowControl/>
              <w:numPr>
                <w:ilvl w:val="0"/>
                <w:numId w:val="3"/>
              </w:numPr>
              <w:tabs>
                <w:tab w:val="num" w:pos="0"/>
              </w:tabs>
              <w:ind w:left="170" w:right="170" w:hanging="176"/>
              <w:jc w:val="both"/>
              <w:rPr>
                <w:sz w:val="22"/>
                <w:szCs w:val="22"/>
              </w:rPr>
            </w:pPr>
            <w:r w:rsidRPr="00464D6E">
              <w:rPr>
                <w:sz w:val="22"/>
                <w:szCs w:val="22"/>
              </w:rPr>
              <w:t>Aggiornamento sulle informazioni generali delle direttive ministeriali e dell’INVALSI;</w:t>
            </w:r>
          </w:p>
        </w:tc>
        <w:tc>
          <w:tcPr>
            <w:tcW w:w="1378" w:type="dxa"/>
          </w:tcPr>
          <w:p w14:paraId="74B6F0B4" w14:textId="77777777" w:rsidR="00AC0291" w:rsidRDefault="00AC0291" w:rsidP="00031E8C"/>
        </w:tc>
      </w:tr>
      <w:tr w:rsidR="00AC0291" w14:paraId="33BE7FBD" w14:textId="77777777" w:rsidTr="00031E8C">
        <w:tc>
          <w:tcPr>
            <w:tcW w:w="8299" w:type="dxa"/>
          </w:tcPr>
          <w:p w14:paraId="29942800" w14:textId="77777777" w:rsidR="00AC0291" w:rsidRPr="00115F49" w:rsidRDefault="00AC0291" w:rsidP="00AC0291">
            <w:pPr>
              <w:widowControl/>
              <w:numPr>
                <w:ilvl w:val="0"/>
                <w:numId w:val="3"/>
              </w:numPr>
              <w:tabs>
                <w:tab w:val="num" w:pos="0"/>
              </w:tabs>
              <w:ind w:left="170" w:right="170" w:hanging="176"/>
              <w:jc w:val="both"/>
              <w:rPr>
                <w:sz w:val="22"/>
                <w:szCs w:val="22"/>
              </w:rPr>
            </w:pPr>
            <w:r w:rsidRPr="00464D6E">
              <w:rPr>
                <w:sz w:val="22"/>
                <w:szCs w:val="22"/>
              </w:rPr>
              <w:t>Indicazioni e informazioni al personale docente e non sullo svolgimento delle prove INVALSI relativamente alle date delle prove, le modalità di trasmissione e consegna dei plichi, la durata e lo svolgimento delle prove e loro correzione;</w:t>
            </w:r>
          </w:p>
        </w:tc>
        <w:tc>
          <w:tcPr>
            <w:tcW w:w="1378" w:type="dxa"/>
          </w:tcPr>
          <w:p w14:paraId="33CF5361" w14:textId="77777777" w:rsidR="00AC0291" w:rsidRDefault="00AC0291" w:rsidP="00031E8C"/>
        </w:tc>
      </w:tr>
      <w:tr w:rsidR="00AC0291" w14:paraId="2C1E5203" w14:textId="77777777" w:rsidTr="00031E8C">
        <w:tc>
          <w:tcPr>
            <w:tcW w:w="8299" w:type="dxa"/>
          </w:tcPr>
          <w:p w14:paraId="2E3744C9" w14:textId="77777777" w:rsidR="00AC0291" w:rsidRPr="00115F49" w:rsidRDefault="00AC0291" w:rsidP="00AC0291">
            <w:pPr>
              <w:widowControl/>
              <w:numPr>
                <w:ilvl w:val="0"/>
                <w:numId w:val="4"/>
              </w:numPr>
              <w:contextualSpacing/>
              <w:jc w:val="both"/>
              <w:rPr>
                <w:rFonts w:cs="Arial"/>
                <w:sz w:val="22"/>
                <w:szCs w:val="22"/>
              </w:rPr>
            </w:pPr>
            <w:r w:rsidRPr="00464D6E">
              <w:rPr>
                <w:rFonts w:cs="Arial"/>
                <w:sz w:val="22"/>
                <w:szCs w:val="22"/>
              </w:rPr>
              <w:t xml:space="preserve">Scuola Primaria: organizza le necessarie misure per lo svolgimento delle prove e per la correzione delle stesse, per la raccolta ed archiviazione degli elaborati degli alunni. Infine procede all’invio dei risultati all’INVALSI </w:t>
            </w:r>
          </w:p>
        </w:tc>
        <w:tc>
          <w:tcPr>
            <w:tcW w:w="1378" w:type="dxa"/>
          </w:tcPr>
          <w:p w14:paraId="1956A5AB" w14:textId="77777777" w:rsidR="00AC0291" w:rsidRDefault="00AC0291" w:rsidP="00031E8C"/>
        </w:tc>
      </w:tr>
      <w:tr w:rsidR="00AC0291" w14:paraId="5CD32EE2" w14:textId="77777777" w:rsidTr="00031E8C">
        <w:tc>
          <w:tcPr>
            <w:tcW w:w="8299" w:type="dxa"/>
          </w:tcPr>
          <w:p w14:paraId="223CFC1B" w14:textId="77777777" w:rsidR="00AC0291" w:rsidRPr="00115F49" w:rsidRDefault="00AC0291" w:rsidP="00AC0291">
            <w:pPr>
              <w:pStyle w:val="Paragrafoelenco"/>
              <w:widowControl/>
              <w:numPr>
                <w:ilvl w:val="0"/>
                <w:numId w:val="4"/>
              </w:numPr>
              <w:jc w:val="both"/>
              <w:rPr>
                <w:rFonts w:cs="Arial"/>
                <w:sz w:val="22"/>
                <w:szCs w:val="22"/>
              </w:rPr>
            </w:pPr>
            <w:r w:rsidRPr="00464D6E">
              <w:rPr>
                <w:rFonts w:cs="Arial"/>
                <w:sz w:val="22"/>
                <w:szCs w:val="22"/>
              </w:rPr>
              <w:t xml:space="preserve">Scuola Secondaria di Primo grado: organizza le necessarie misure per lo svolgimento delle prove tenendo conto delle reali risorse informatiche della scuola e procede altresì all’invio dei risultati all’INVALSI </w:t>
            </w:r>
          </w:p>
        </w:tc>
        <w:tc>
          <w:tcPr>
            <w:tcW w:w="1378" w:type="dxa"/>
          </w:tcPr>
          <w:p w14:paraId="18A0686F" w14:textId="77777777" w:rsidR="00AC0291" w:rsidRDefault="00AC0291" w:rsidP="00031E8C"/>
        </w:tc>
      </w:tr>
      <w:tr w:rsidR="00AC0291" w14:paraId="318366D6" w14:textId="77777777" w:rsidTr="00031E8C">
        <w:tc>
          <w:tcPr>
            <w:tcW w:w="8299" w:type="dxa"/>
          </w:tcPr>
          <w:p w14:paraId="2CBA75A9" w14:textId="77777777" w:rsidR="00AC0291" w:rsidRPr="00115F49" w:rsidRDefault="00AC0291" w:rsidP="00AC0291">
            <w:pPr>
              <w:widowControl/>
              <w:numPr>
                <w:ilvl w:val="0"/>
                <w:numId w:val="3"/>
              </w:numPr>
              <w:tabs>
                <w:tab w:val="num" w:pos="0"/>
              </w:tabs>
              <w:ind w:left="170" w:right="170" w:hanging="176"/>
              <w:jc w:val="both"/>
              <w:rPr>
                <w:sz w:val="22"/>
                <w:szCs w:val="22"/>
              </w:rPr>
            </w:pPr>
            <w:r w:rsidRPr="00464D6E">
              <w:rPr>
                <w:sz w:val="22"/>
                <w:szCs w:val="22"/>
              </w:rPr>
              <w:t>Promozione, anche attraverso corsi di formazione e informazione, della consapevolezza all’interno della scuola e a favore delle famiglie dell’utilità della rilevazione INVALSI;</w:t>
            </w:r>
          </w:p>
        </w:tc>
        <w:tc>
          <w:tcPr>
            <w:tcW w:w="1378" w:type="dxa"/>
          </w:tcPr>
          <w:p w14:paraId="08409AE8" w14:textId="77777777" w:rsidR="00AC0291" w:rsidRDefault="00AC0291" w:rsidP="00031E8C"/>
        </w:tc>
      </w:tr>
      <w:tr w:rsidR="00AC0291" w14:paraId="3AA3A47B" w14:textId="77777777" w:rsidTr="00031E8C">
        <w:tc>
          <w:tcPr>
            <w:tcW w:w="8299" w:type="dxa"/>
          </w:tcPr>
          <w:p w14:paraId="190CEE32" w14:textId="77777777" w:rsidR="00AC0291" w:rsidRPr="002848E6" w:rsidRDefault="00AC0291" w:rsidP="00AC0291">
            <w:pPr>
              <w:widowControl/>
              <w:numPr>
                <w:ilvl w:val="0"/>
                <w:numId w:val="3"/>
              </w:numPr>
              <w:tabs>
                <w:tab w:val="num" w:pos="0"/>
              </w:tabs>
              <w:ind w:left="170" w:right="170" w:hanging="176"/>
              <w:jc w:val="both"/>
              <w:rPr>
                <w:sz w:val="22"/>
                <w:szCs w:val="22"/>
              </w:rPr>
            </w:pPr>
            <w:r w:rsidRPr="00464D6E">
              <w:rPr>
                <w:sz w:val="22"/>
                <w:szCs w:val="22"/>
              </w:rPr>
              <w:t>Promozione dell'utilità dei risultati INVALSI del precedente anno scolastico al fine di incoraggiare una riflessione utile per la progettazione, da parte dei singoli docenti, di azioni mirate al miglioramento della didattica;</w:t>
            </w:r>
          </w:p>
        </w:tc>
        <w:tc>
          <w:tcPr>
            <w:tcW w:w="1378" w:type="dxa"/>
          </w:tcPr>
          <w:p w14:paraId="201AAE76" w14:textId="77777777" w:rsidR="00AC0291" w:rsidRDefault="00AC0291" w:rsidP="00031E8C"/>
        </w:tc>
      </w:tr>
    </w:tbl>
    <w:p w14:paraId="4F92ACD6" w14:textId="1F74A57F" w:rsidR="00316DBF" w:rsidRDefault="00316DBF" w:rsidP="00316DBF">
      <w:pPr>
        <w:jc w:val="both"/>
        <w:rPr>
          <w:b/>
          <w:sz w:val="24"/>
          <w:szCs w:val="24"/>
        </w:rPr>
      </w:pPr>
    </w:p>
    <w:p w14:paraId="58FDA98A" w14:textId="77777777" w:rsidR="00981A50" w:rsidRDefault="00981A50" w:rsidP="00316DBF">
      <w:pPr>
        <w:jc w:val="both"/>
        <w:rPr>
          <w:b/>
          <w:sz w:val="24"/>
          <w:szCs w:val="24"/>
        </w:rPr>
      </w:pPr>
    </w:p>
    <w:p w14:paraId="336AEC6C" w14:textId="7FD4151D" w:rsidR="00316DBF" w:rsidRPr="00981A50" w:rsidRDefault="00316DBF" w:rsidP="00981A50">
      <w:pPr>
        <w:pStyle w:val="Paragrafoelenco"/>
        <w:numPr>
          <w:ilvl w:val="0"/>
          <w:numId w:val="2"/>
        </w:numPr>
        <w:jc w:val="both"/>
        <w:rPr>
          <w:b/>
          <w:sz w:val="24"/>
          <w:szCs w:val="24"/>
        </w:rPr>
      </w:pPr>
      <w:r w:rsidRPr="00981A50">
        <w:rPr>
          <w:b/>
          <w:sz w:val="24"/>
          <w:szCs w:val="24"/>
        </w:rPr>
        <w:t>Qual è la per</w:t>
      </w:r>
      <w:r w:rsidR="00571E1D" w:rsidRPr="00981A50">
        <w:rPr>
          <w:b/>
          <w:sz w:val="24"/>
          <w:szCs w:val="24"/>
        </w:rPr>
        <w:t>cen</w:t>
      </w:r>
      <w:r w:rsidRPr="00981A50">
        <w:rPr>
          <w:b/>
          <w:sz w:val="24"/>
          <w:szCs w:val="24"/>
        </w:rPr>
        <w:t xml:space="preserve">tuale delle attività svolte </w:t>
      </w:r>
      <w:r w:rsidR="00571E1D" w:rsidRPr="00981A50">
        <w:rPr>
          <w:b/>
          <w:sz w:val="24"/>
          <w:szCs w:val="24"/>
        </w:rPr>
        <w:t>compresa da 1% e 100%?</w:t>
      </w:r>
    </w:p>
    <w:p w14:paraId="39889089" w14:textId="6E945865" w:rsidR="00571E1D" w:rsidRDefault="00571E1D" w:rsidP="00316DBF">
      <w:pPr>
        <w:jc w:val="both"/>
        <w:rPr>
          <w:b/>
          <w:sz w:val="24"/>
          <w:szCs w:val="24"/>
        </w:rPr>
      </w:pPr>
    </w:p>
    <w:p w14:paraId="4C10114D" w14:textId="77777777" w:rsidR="00981A50" w:rsidRDefault="00981A50" w:rsidP="00316DBF">
      <w:pPr>
        <w:jc w:val="both"/>
        <w:rPr>
          <w:b/>
          <w:sz w:val="24"/>
          <w:szCs w:val="24"/>
        </w:rPr>
      </w:pPr>
    </w:p>
    <w:p w14:paraId="3DCC1C21" w14:textId="623EE7BE" w:rsidR="00571E1D" w:rsidRPr="00981A50" w:rsidRDefault="00571E1D" w:rsidP="00981A50">
      <w:pPr>
        <w:pStyle w:val="Paragrafoelenco"/>
        <w:numPr>
          <w:ilvl w:val="0"/>
          <w:numId w:val="2"/>
        </w:numPr>
        <w:jc w:val="both"/>
        <w:rPr>
          <w:rFonts w:eastAsiaTheme="minorEastAsia"/>
          <w:b/>
          <w:sz w:val="24"/>
          <w:szCs w:val="24"/>
        </w:rPr>
      </w:pPr>
      <w:r w:rsidRPr="00981A50">
        <w:rPr>
          <w:rFonts w:eastAsiaTheme="minorEastAsia"/>
          <w:b/>
          <w:sz w:val="24"/>
          <w:szCs w:val="24"/>
        </w:rPr>
        <w:t>Indicare altre attività svolte non presenti nel mansionario:</w:t>
      </w:r>
    </w:p>
    <w:p w14:paraId="5A600025" w14:textId="1886DCFB" w:rsidR="00571E1D" w:rsidRPr="00CC427C" w:rsidRDefault="00571E1D" w:rsidP="00571E1D">
      <w:pPr>
        <w:jc w:val="both"/>
        <w:rPr>
          <w:rFonts w:eastAsiaTheme="minorEastAsia"/>
          <w:sz w:val="24"/>
          <w:szCs w:val="24"/>
        </w:rPr>
      </w:pPr>
      <w:r w:rsidRPr="00CC427C">
        <w:rPr>
          <w:rFonts w:eastAsiaTheme="minorEastAsia"/>
          <w:sz w:val="24"/>
          <w:szCs w:val="24"/>
        </w:rPr>
        <w:t>…………………………………………………………………………………………………………</w:t>
      </w:r>
    </w:p>
    <w:p w14:paraId="56596031" w14:textId="7BDA06DD" w:rsidR="00571E1D" w:rsidRDefault="00571E1D" w:rsidP="00316DBF">
      <w:pPr>
        <w:jc w:val="both"/>
        <w:rPr>
          <w:b/>
          <w:sz w:val="24"/>
          <w:szCs w:val="24"/>
        </w:rPr>
      </w:pPr>
    </w:p>
    <w:p w14:paraId="764635DB" w14:textId="77777777" w:rsidR="00981A50" w:rsidRDefault="00981A50" w:rsidP="00316DBF">
      <w:pPr>
        <w:jc w:val="both"/>
        <w:rPr>
          <w:b/>
          <w:sz w:val="24"/>
          <w:szCs w:val="24"/>
        </w:rPr>
      </w:pPr>
    </w:p>
    <w:p w14:paraId="05AA976C" w14:textId="6603BA59" w:rsidR="00571E1D" w:rsidRPr="00981A50" w:rsidRDefault="00571E1D" w:rsidP="00981A50">
      <w:pPr>
        <w:pStyle w:val="Paragrafoelenco"/>
        <w:numPr>
          <w:ilvl w:val="0"/>
          <w:numId w:val="2"/>
        </w:numPr>
        <w:jc w:val="both"/>
        <w:rPr>
          <w:rFonts w:eastAsiaTheme="minorEastAsia"/>
          <w:b/>
          <w:sz w:val="24"/>
          <w:szCs w:val="24"/>
        </w:rPr>
      </w:pPr>
      <w:r w:rsidRPr="00981A50">
        <w:rPr>
          <w:rFonts w:eastAsiaTheme="minorEastAsia"/>
          <w:b/>
          <w:sz w:val="24"/>
          <w:szCs w:val="24"/>
        </w:rPr>
        <w:t>Nel corso dell’anno si sono rilevati elementi di criticità relativi a:</w:t>
      </w:r>
    </w:p>
    <w:p w14:paraId="0969994F" w14:textId="449606A0" w:rsidR="00571E1D" w:rsidRDefault="00571E1D" w:rsidP="00571E1D">
      <w:pPr>
        <w:jc w:val="both"/>
        <w:rPr>
          <w:rFonts w:eastAsiaTheme="minorEastAsia"/>
          <w:sz w:val="24"/>
          <w:szCs w:val="24"/>
        </w:rPr>
      </w:pPr>
      <w:r w:rsidRPr="00CC427C">
        <w:rPr>
          <w:rFonts w:eastAsiaTheme="minorEastAsia"/>
          <w:sz w:val="24"/>
          <w:szCs w:val="24"/>
        </w:rPr>
        <w:t>…………………………………………………………………………………………………………</w:t>
      </w:r>
    </w:p>
    <w:p w14:paraId="4A890662" w14:textId="7E8D1036" w:rsidR="00981A50" w:rsidRDefault="00981A50" w:rsidP="00571E1D">
      <w:pPr>
        <w:jc w:val="both"/>
        <w:rPr>
          <w:b/>
          <w:sz w:val="24"/>
          <w:szCs w:val="24"/>
        </w:rPr>
      </w:pPr>
    </w:p>
    <w:p w14:paraId="04B3D8FD" w14:textId="77777777" w:rsidR="00981A50" w:rsidRDefault="00981A50" w:rsidP="00571E1D">
      <w:pPr>
        <w:jc w:val="both"/>
        <w:rPr>
          <w:b/>
          <w:sz w:val="24"/>
          <w:szCs w:val="24"/>
        </w:rPr>
      </w:pPr>
    </w:p>
    <w:p w14:paraId="14510B41" w14:textId="036AED20" w:rsidR="00571E1D" w:rsidRPr="00981A50" w:rsidRDefault="00571E1D" w:rsidP="00981A50">
      <w:pPr>
        <w:pStyle w:val="Paragrafoelenco"/>
        <w:numPr>
          <w:ilvl w:val="0"/>
          <w:numId w:val="2"/>
        </w:numPr>
        <w:jc w:val="both"/>
        <w:rPr>
          <w:rFonts w:eastAsiaTheme="minorEastAsia"/>
          <w:b/>
          <w:sz w:val="24"/>
          <w:szCs w:val="24"/>
        </w:rPr>
      </w:pPr>
      <w:r w:rsidRPr="00981A50">
        <w:rPr>
          <w:rFonts w:eastAsiaTheme="minorEastAsia"/>
          <w:b/>
          <w:sz w:val="24"/>
          <w:szCs w:val="24"/>
        </w:rPr>
        <w:t>Nel corso dell’anno si sono rilevati i seguenti elementi di forza:</w:t>
      </w:r>
    </w:p>
    <w:p w14:paraId="02793685" w14:textId="2E767B66" w:rsidR="00571E1D" w:rsidRDefault="00571E1D" w:rsidP="00571E1D">
      <w:pPr>
        <w:jc w:val="both"/>
        <w:rPr>
          <w:rFonts w:eastAsiaTheme="minorEastAsia"/>
          <w:sz w:val="24"/>
          <w:szCs w:val="24"/>
        </w:rPr>
      </w:pPr>
      <w:r w:rsidRPr="00CC427C">
        <w:rPr>
          <w:rFonts w:eastAsiaTheme="minorEastAsia"/>
          <w:sz w:val="24"/>
          <w:szCs w:val="24"/>
        </w:rPr>
        <w:t>…………………………………………………………………………………………………………</w:t>
      </w:r>
    </w:p>
    <w:p w14:paraId="1268CEFA" w14:textId="02980EA5" w:rsidR="00981A50" w:rsidRDefault="00981A50" w:rsidP="00571E1D">
      <w:pPr>
        <w:jc w:val="both"/>
        <w:rPr>
          <w:b/>
          <w:sz w:val="24"/>
          <w:szCs w:val="24"/>
        </w:rPr>
      </w:pPr>
    </w:p>
    <w:p w14:paraId="1E769447" w14:textId="2BFB9CCA" w:rsidR="00981A50" w:rsidRDefault="00981A50" w:rsidP="00571E1D">
      <w:pPr>
        <w:jc w:val="both"/>
        <w:rPr>
          <w:b/>
          <w:sz w:val="24"/>
          <w:szCs w:val="24"/>
        </w:rPr>
      </w:pPr>
    </w:p>
    <w:p w14:paraId="6EBAC633" w14:textId="0E52840C" w:rsidR="00AC0291" w:rsidRDefault="00AC0291" w:rsidP="00571E1D">
      <w:pPr>
        <w:jc w:val="both"/>
        <w:rPr>
          <w:b/>
          <w:sz w:val="24"/>
          <w:szCs w:val="24"/>
        </w:rPr>
      </w:pPr>
    </w:p>
    <w:p w14:paraId="0EA07B08" w14:textId="3D9C9E00" w:rsidR="00AC0291" w:rsidRDefault="00AC0291" w:rsidP="00571E1D">
      <w:pPr>
        <w:jc w:val="both"/>
        <w:rPr>
          <w:b/>
          <w:sz w:val="24"/>
          <w:szCs w:val="24"/>
        </w:rPr>
      </w:pPr>
    </w:p>
    <w:p w14:paraId="3C663367" w14:textId="77777777" w:rsidR="00AC0291" w:rsidRDefault="00AC0291" w:rsidP="00571E1D">
      <w:pPr>
        <w:jc w:val="both"/>
        <w:rPr>
          <w:b/>
          <w:sz w:val="24"/>
          <w:szCs w:val="24"/>
        </w:rPr>
      </w:pPr>
    </w:p>
    <w:p w14:paraId="200F8C3D" w14:textId="7726D2B2" w:rsidR="00571E1D" w:rsidRPr="00981A50" w:rsidRDefault="00571E1D" w:rsidP="00981A50">
      <w:pPr>
        <w:pStyle w:val="Paragrafoelenco"/>
        <w:numPr>
          <w:ilvl w:val="0"/>
          <w:numId w:val="2"/>
        </w:numPr>
        <w:jc w:val="both"/>
        <w:rPr>
          <w:rFonts w:eastAsiaTheme="minorEastAsia"/>
          <w:b/>
          <w:sz w:val="24"/>
          <w:szCs w:val="24"/>
        </w:rPr>
      </w:pPr>
      <w:r w:rsidRPr="00981A50">
        <w:rPr>
          <w:rFonts w:eastAsiaTheme="minorEastAsia"/>
          <w:b/>
          <w:sz w:val="24"/>
          <w:szCs w:val="24"/>
        </w:rPr>
        <w:lastRenderedPageBreak/>
        <w:t>Per migliorare l’organizzazione del lavoro della commissione si propongono eventuali modifiche riguardanti:</w:t>
      </w:r>
    </w:p>
    <w:p w14:paraId="6D9BBEDC" w14:textId="77777777" w:rsidR="00571E1D" w:rsidRPr="00CC427C" w:rsidRDefault="00571E1D" w:rsidP="00571E1D">
      <w:pPr>
        <w:jc w:val="both"/>
        <w:rPr>
          <w:rFonts w:eastAsiaTheme="minorEastAsia"/>
          <w:b/>
          <w:sz w:val="24"/>
          <w:szCs w:val="24"/>
        </w:rPr>
      </w:pPr>
    </w:p>
    <w:p w14:paraId="0F83C446" w14:textId="75C1DD61" w:rsidR="00571E1D" w:rsidRPr="00CC427C" w:rsidRDefault="00571E1D" w:rsidP="00571E1D">
      <w:pPr>
        <w:spacing w:line="360" w:lineRule="auto"/>
        <w:jc w:val="both"/>
        <w:rPr>
          <w:rFonts w:eastAsiaTheme="minorEastAsia"/>
          <w:sz w:val="22"/>
          <w:szCs w:val="22"/>
        </w:rPr>
      </w:pPr>
      <w:r w:rsidRPr="00CC427C">
        <w:rPr>
          <w:rFonts w:eastAsiaTheme="minorEastAsia"/>
          <w:sz w:val="22"/>
          <w:szCs w:val="22"/>
        </w:rPr>
        <w:t>□ attività presenti nel mansionario</w:t>
      </w:r>
      <w:r w:rsidR="00981A50">
        <w:rPr>
          <w:rFonts w:eastAsiaTheme="minorEastAsia"/>
          <w:sz w:val="22"/>
          <w:szCs w:val="22"/>
        </w:rPr>
        <w:t xml:space="preserve"> (indicare le eventuali modifiche………………)</w:t>
      </w:r>
    </w:p>
    <w:p w14:paraId="4D0D692D" w14:textId="77777777" w:rsidR="00571E1D" w:rsidRPr="00CC427C" w:rsidRDefault="00571E1D" w:rsidP="00571E1D">
      <w:pPr>
        <w:spacing w:line="360" w:lineRule="auto"/>
        <w:jc w:val="both"/>
        <w:rPr>
          <w:rFonts w:eastAsiaTheme="minorEastAsia"/>
          <w:sz w:val="22"/>
          <w:szCs w:val="22"/>
        </w:rPr>
      </w:pPr>
      <w:r w:rsidRPr="00CC427C">
        <w:rPr>
          <w:rFonts w:eastAsiaTheme="minorEastAsia"/>
          <w:sz w:val="22"/>
          <w:szCs w:val="22"/>
        </w:rPr>
        <w:t>□ monte orario</w:t>
      </w:r>
    </w:p>
    <w:p w14:paraId="1688C296" w14:textId="77777777" w:rsidR="00571E1D" w:rsidRPr="00CC427C" w:rsidRDefault="00571E1D" w:rsidP="00571E1D">
      <w:pPr>
        <w:spacing w:line="360" w:lineRule="auto"/>
        <w:jc w:val="both"/>
        <w:rPr>
          <w:rFonts w:eastAsiaTheme="minorEastAsia"/>
          <w:sz w:val="22"/>
          <w:szCs w:val="22"/>
        </w:rPr>
      </w:pPr>
      <w:r w:rsidRPr="00CC427C">
        <w:rPr>
          <w:rFonts w:eastAsiaTheme="minorEastAsia"/>
          <w:sz w:val="22"/>
          <w:szCs w:val="22"/>
        </w:rPr>
        <w:t>□ numero di componenti la Commissione</w:t>
      </w:r>
    </w:p>
    <w:p w14:paraId="179DA2CD" w14:textId="77777777" w:rsidR="00571E1D" w:rsidRPr="00CC427C" w:rsidRDefault="00571E1D" w:rsidP="00571E1D">
      <w:pPr>
        <w:spacing w:line="360" w:lineRule="auto"/>
        <w:jc w:val="both"/>
        <w:rPr>
          <w:rFonts w:eastAsiaTheme="minorEastAsia"/>
          <w:sz w:val="22"/>
          <w:szCs w:val="22"/>
        </w:rPr>
      </w:pPr>
      <w:r w:rsidRPr="00CC427C">
        <w:rPr>
          <w:rFonts w:eastAsiaTheme="minorEastAsia"/>
          <w:sz w:val="22"/>
          <w:szCs w:val="22"/>
        </w:rPr>
        <w:t>□ formazione specifica</w:t>
      </w:r>
    </w:p>
    <w:p w14:paraId="178C7535" w14:textId="157B4FB1" w:rsidR="00571E1D" w:rsidRPr="00CC427C" w:rsidRDefault="00571E1D" w:rsidP="00571E1D">
      <w:pPr>
        <w:jc w:val="both"/>
        <w:rPr>
          <w:rFonts w:eastAsiaTheme="minorEastAsia"/>
          <w:b/>
          <w:sz w:val="24"/>
          <w:szCs w:val="24"/>
        </w:rPr>
      </w:pPr>
      <w:r w:rsidRPr="00CC427C">
        <w:rPr>
          <w:rFonts w:eastAsiaTheme="minorEastAsia"/>
          <w:sz w:val="22"/>
          <w:szCs w:val="22"/>
        </w:rPr>
        <w:t>□ altro (specificare ……………………………………………………………………………………)</w:t>
      </w:r>
    </w:p>
    <w:p w14:paraId="1B181356" w14:textId="2956B91E" w:rsidR="00571E1D" w:rsidRDefault="00571E1D" w:rsidP="00316DBF">
      <w:pPr>
        <w:jc w:val="both"/>
        <w:rPr>
          <w:b/>
          <w:sz w:val="24"/>
          <w:szCs w:val="24"/>
        </w:rPr>
      </w:pPr>
    </w:p>
    <w:p w14:paraId="7F087682" w14:textId="02B7456D" w:rsidR="00981A50" w:rsidRDefault="00981A50" w:rsidP="00316DBF">
      <w:pPr>
        <w:jc w:val="both"/>
        <w:rPr>
          <w:b/>
          <w:sz w:val="24"/>
          <w:szCs w:val="24"/>
        </w:rPr>
      </w:pPr>
    </w:p>
    <w:p w14:paraId="4BEF252A" w14:textId="77777777" w:rsidR="00981A50" w:rsidRDefault="00981A50" w:rsidP="00316DBF">
      <w:pPr>
        <w:jc w:val="both"/>
        <w:rPr>
          <w:b/>
          <w:sz w:val="24"/>
          <w:szCs w:val="24"/>
        </w:rPr>
      </w:pPr>
    </w:p>
    <w:p w14:paraId="676333AD" w14:textId="15AB34C5" w:rsidR="00571E1D" w:rsidRPr="00981A50" w:rsidRDefault="00571E1D" w:rsidP="00571E1D">
      <w:pPr>
        <w:jc w:val="both"/>
        <w:rPr>
          <w:sz w:val="22"/>
          <w:szCs w:val="22"/>
        </w:rPr>
      </w:pPr>
      <w:r w:rsidRPr="00981A50">
        <w:rPr>
          <w:sz w:val="22"/>
          <w:szCs w:val="22"/>
        </w:rPr>
        <w:t>Luogo e data</w:t>
      </w:r>
      <w:r w:rsidRPr="00981A50">
        <w:rPr>
          <w:sz w:val="22"/>
          <w:szCs w:val="22"/>
        </w:rPr>
        <w:tab/>
      </w:r>
      <w:r w:rsidRPr="00981A50">
        <w:rPr>
          <w:sz w:val="22"/>
          <w:szCs w:val="22"/>
        </w:rPr>
        <w:tab/>
      </w:r>
      <w:r w:rsidRPr="00981A50">
        <w:rPr>
          <w:sz w:val="22"/>
          <w:szCs w:val="22"/>
        </w:rPr>
        <w:tab/>
      </w:r>
      <w:r w:rsidRPr="00981A50">
        <w:rPr>
          <w:sz w:val="22"/>
          <w:szCs w:val="22"/>
        </w:rPr>
        <w:tab/>
      </w:r>
      <w:r w:rsidRPr="00981A50">
        <w:rPr>
          <w:sz w:val="22"/>
          <w:szCs w:val="22"/>
        </w:rPr>
        <w:tab/>
      </w:r>
      <w:r w:rsidRPr="00981A50">
        <w:rPr>
          <w:sz w:val="22"/>
          <w:szCs w:val="22"/>
        </w:rPr>
        <w:tab/>
      </w:r>
      <w:r w:rsidRPr="00981A50">
        <w:rPr>
          <w:sz w:val="22"/>
          <w:szCs w:val="22"/>
        </w:rPr>
        <w:tab/>
        <w:t>Firma dei membri della Commissione</w:t>
      </w:r>
    </w:p>
    <w:p w14:paraId="618C88A6" w14:textId="77777777" w:rsidR="00571E1D" w:rsidRPr="00571E1D" w:rsidRDefault="00571E1D" w:rsidP="00316DBF">
      <w:pPr>
        <w:jc w:val="both"/>
        <w:rPr>
          <w:b/>
          <w:sz w:val="24"/>
          <w:szCs w:val="24"/>
        </w:rPr>
      </w:pPr>
    </w:p>
    <w:sectPr w:rsidR="00571E1D" w:rsidRPr="00571E1D" w:rsidSect="00B8294B">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4EBB2" w14:textId="77777777" w:rsidR="00B854EE" w:rsidRDefault="00B854EE" w:rsidP="00316DBF">
      <w:r>
        <w:separator/>
      </w:r>
    </w:p>
  </w:endnote>
  <w:endnote w:type="continuationSeparator" w:id="0">
    <w:p w14:paraId="40EDCB95" w14:textId="77777777" w:rsidR="00B854EE" w:rsidRDefault="00B854EE" w:rsidP="0031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30BB2" w14:textId="77777777" w:rsidR="00B854EE" w:rsidRDefault="00B854EE" w:rsidP="00316DBF">
      <w:r>
        <w:separator/>
      </w:r>
    </w:p>
  </w:footnote>
  <w:footnote w:type="continuationSeparator" w:id="0">
    <w:p w14:paraId="268A6942" w14:textId="77777777" w:rsidR="00B854EE" w:rsidRDefault="00B854EE" w:rsidP="0031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2A73" w14:textId="50C1FEE8" w:rsidR="00316DBF" w:rsidRDefault="00316DBF" w:rsidP="00316DBF">
    <w:pPr>
      <w:spacing w:line="238" w:lineRule="auto"/>
      <w:jc w:val="center"/>
      <w:rPr>
        <w:rFonts w:ascii="Lucida Handwriting" w:eastAsia="Verdana" w:hAnsi="Lucida Handwriting"/>
        <w:b/>
        <w:i/>
        <w:sz w:val="15"/>
        <w:szCs w:val="15"/>
      </w:rPr>
    </w:pPr>
    <w:r w:rsidRPr="003875F5">
      <w:rPr>
        <w:rFonts w:ascii="Lucida Handwriting" w:eastAsia="Verdana" w:hAnsi="Lucida Handwriting"/>
        <w:b/>
        <w:noProof/>
        <w:sz w:val="15"/>
        <w:szCs w:val="15"/>
      </w:rPr>
      <w:drawing>
        <wp:anchor distT="0" distB="0" distL="114300" distR="114300" simplePos="0" relativeHeight="251659264" behindDoc="1" locked="0" layoutInCell="0" allowOverlap="1" wp14:anchorId="70DC4BED" wp14:editId="4E59AE3F">
          <wp:simplePos x="0" y="0"/>
          <wp:positionH relativeFrom="column">
            <wp:posOffset>7620</wp:posOffset>
          </wp:positionH>
          <wp:positionV relativeFrom="paragraph">
            <wp:posOffset>-95462</wp:posOffset>
          </wp:positionV>
          <wp:extent cx="359410" cy="359410"/>
          <wp:effectExtent l="0" t="0" r="0" b="0"/>
          <wp:wrapNone/>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page">
            <wp14:pctWidth>0</wp14:pctWidth>
          </wp14:sizeRelH>
          <wp14:sizeRelV relativeFrom="page">
            <wp14:pctHeight>0</wp14:pctHeight>
          </wp14:sizeRelV>
        </wp:anchor>
      </w:drawing>
    </w:r>
    <w:r w:rsidRPr="003875F5">
      <w:rPr>
        <w:rFonts w:ascii="Lucida Handwriting" w:eastAsia="Verdana" w:hAnsi="Lucida Handwriting"/>
        <w:b/>
        <w:i/>
        <w:sz w:val="15"/>
        <w:szCs w:val="15"/>
      </w:rPr>
      <w:t xml:space="preserve">Istituto Comprensivo Statale Palombara Sabina </w:t>
    </w:r>
  </w:p>
  <w:p w14:paraId="67D1D2AE" w14:textId="77777777" w:rsidR="00316DBF" w:rsidRDefault="00316D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A2770A7"/>
    <w:multiLevelType w:val="hybridMultilevel"/>
    <w:tmpl w:val="1EBECE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C0A4C92"/>
    <w:multiLevelType w:val="hybridMultilevel"/>
    <w:tmpl w:val="40E89A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C80087E"/>
    <w:multiLevelType w:val="hybridMultilevel"/>
    <w:tmpl w:val="3A2C10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BF"/>
    <w:rsid w:val="00220D48"/>
    <w:rsid w:val="00286CF9"/>
    <w:rsid w:val="00316DBF"/>
    <w:rsid w:val="00571E1D"/>
    <w:rsid w:val="00692621"/>
    <w:rsid w:val="00981A50"/>
    <w:rsid w:val="00AC0291"/>
    <w:rsid w:val="00B8294B"/>
    <w:rsid w:val="00B854EE"/>
    <w:rsid w:val="00DE02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639134C"/>
  <w15:chartTrackingRefBased/>
  <w15:docId w15:val="{6BAD412B-CDB7-3344-A8C5-88B9F2B8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verifica"/>
    <w:qFormat/>
    <w:rsid w:val="00316DBF"/>
    <w:pPr>
      <w:widowControl w:val="0"/>
      <w:suppressAutoHyphens/>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DE028D"/>
    <w:pPr>
      <w:widowControl/>
      <w:suppressAutoHyphens w:val="0"/>
      <w:jc w:val="both"/>
    </w:pPr>
    <w:rPr>
      <w:rFonts w:ascii="Verdana" w:eastAsiaTheme="minorHAnsi" w:hAnsi="Verdana" w:cstheme="minorBidi"/>
      <w:lang w:eastAsia="en-US"/>
    </w:rPr>
  </w:style>
  <w:style w:type="paragraph" w:styleId="Intestazione">
    <w:name w:val="header"/>
    <w:basedOn w:val="Normale"/>
    <w:link w:val="IntestazioneCarattere"/>
    <w:uiPriority w:val="99"/>
    <w:unhideWhenUsed/>
    <w:rsid w:val="00316DBF"/>
    <w:pPr>
      <w:widowControl/>
      <w:tabs>
        <w:tab w:val="center" w:pos="4819"/>
        <w:tab w:val="right" w:pos="9638"/>
      </w:tabs>
      <w:suppressAutoHyphens w:val="0"/>
      <w:jc w:val="both"/>
    </w:pPr>
    <w:rPr>
      <w:rFonts w:ascii="Verdana" w:eastAsiaTheme="minorHAnsi" w:hAnsi="Verdana" w:cstheme="minorBidi"/>
      <w:sz w:val="22"/>
      <w:szCs w:val="24"/>
      <w:lang w:eastAsia="en-US"/>
    </w:rPr>
  </w:style>
  <w:style w:type="character" w:customStyle="1" w:styleId="IntestazioneCarattere">
    <w:name w:val="Intestazione Carattere"/>
    <w:basedOn w:val="Carpredefinitoparagrafo"/>
    <w:link w:val="Intestazione"/>
    <w:uiPriority w:val="99"/>
    <w:rsid w:val="00316DBF"/>
    <w:rPr>
      <w:rFonts w:ascii="Verdana" w:hAnsi="Verdana"/>
      <w:sz w:val="22"/>
    </w:rPr>
  </w:style>
  <w:style w:type="paragraph" w:styleId="Pidipagina">
    <w:name w:val="footer"/>
    <w:basedOn w:val="Normale"/>
    <w:link w:val="PidipaginaCarattere"/>
    <w:uiPriority w:val="99"/>
    <w:unhideWhenUsed/>
    <w:rsid w:val="00316DBF"/>
    <w:pPr>
      <w:widowControl/>
      <w:tabs>
        <w:tab w:val="center" w:pos="4819"/>
        <w:tab w:val="right" w:pos="9638"/>
      </w:tabs>
      <w:suppressAutoHyphens w:val="0"/>
      <w:jc w:val="both"/>
    </w:pPr>
    <w:rPr>
      <w:rFonts w:ascii="Verdana" w:eastAsiaTheme="minorHAnsi" w:hAnsi="Verdana" w:cstheme="minorBidi"/>
      <w:sz w:val="22"/>
      <w:szCs w:val="24"/>
      <w:lang w:eastAsia="en-US"/>
    </w:rPr>
  </w:style>
  <w:style w:type="character" w:customStyle="1" w:styleId="PidipaginaCarattere">
    <w:name w:val="Piè di pagina Carattere"/>
    <w:basedOn w:val="Carpredefinitoparagrafo"/>
    <w:link w:val="Pidipagina"/>
    <w:uiPriority w:val="99"/>
    <w:rsid w:val="00316DBF"/>
    <w:rPr>
      <w:rFonts w:ascii="Verdana" w:hAnsi="Verdana"/>
      <w:sz w:val="22"/>
    </w:rPr>
  </w:style>
  <w:style w:type="table" w:styleId="Grigliatabella">
    <w:name w:val="Table Grid"/>
    <w:basedOn w:val="Tabellanormale"/>
    <w:uiPriority w:val="59"/>
    <w:rsid w:val="00316DBF"/>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16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2021-06-15T09:45:00Z</dcterms:created>
  <dcterms:modified xsi:type="dcterms:W3CDTF">2021-06-15T09:45:00Z</dcterms:modified>
</cp:coreProperties>
</file>